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adjustRightInd w:val="0"/>
        <w:snapToGrid w:val="0"/>
        <w:spacing w:line="360" w:lineRule="auto"/>
        <w:jc w:val="center"/>
        <w:rPr>
          <w:rFonts w:ascii="Times New Roman" w:hAnsi="Times New Roman" w:eastAsia="黑体" w:cs="Times New Roman"/>
          <w:color w:val="333333"/>
          <w:kern w:val="0"/>
          <w:sz w:val="30"/>
          <w:szCs w:val="30"/>
        </w:rPr>
      </w:pPr>
      <w:r>
        <w:rPr>
          <w:rFonts w:ascii="Times New Roman" w:hAnsi="Times New Roman" w:eastAsia="黑体" w:cs="Times New Roman"/>
          <w:color w:val="333333"/>
          <w:kern w:val="0"/>
          <w:sz w:val="30"/>
          <w:szCs w:val="30"/>
        </w:rPr>
        <w:t>山东潍焦集团薛城能源有限公司</w:t>
      </w:r>
    </w:p>
    <w:p>
      <w:pPr>
        <w:widowControl/>
        <w:shd w:val="clear" w:color="auto" w:fill="FFFFFF"/>
        <w:adjustRightInd w:val="0"/>
        <w:snapToGrid w:val="0"/>
        <w:spacing w:line="360" w:lineRule="auto"/>
        <w:jc w:val="center"/>
        <w:rPr>
          <w:rFonts w:hint="eastAsia" w:ascii="Times New Roman" w:hAnsi="Times New Roman" w:eastAsia="黑体" w:cs="Times New Roman"/>
          <w:color w:val="333333"/>
          <w:kern w:val="0"/>
          <w:sz w:val="30"/>
          <w:szCs w:val="30"/>
        </w:rPr>
      </w:pPr>
      <w:r>
        <w:rPr>
          <w:rFonts w:hint="eastAsia" w:ascii="Times New Roman" w:hAnsi="Times New Roman" w:eastAsia="黑体" w:cs="Times New Roman"/>
          <w:color w:val="333333"/>
          <w:kern w:val="0"/>
          <w:sz w:val="30"/>
          <w:szCs w:val="30"/>
        </w:rPr>
        <w:t>脱硫废液综合利用项目环境影响报告表信息公示</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根据《中华人民共和国环境影响评价法》、《建设项目环境影响后评价管理办法（试行）》、《环境影响评价公众参与办法》（生态环境部令第4号）的相关规定，现将山东潍焦集团薛城能源有限公司环境影响后评价事宜进行第一公示，公示材料如下：</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（一）建设项目名称及概要</w:t>
      </w:r>
    </w:p>
    <w:p>
      <w:pPr>
        <w:widowControl/>
        <w:shd w:val="clear" w:color="auto" w:fill="FFFFFF"/>
        <w:adjustRightInd w:val="0"/>
        <w:snapToGrid w:val="0"/>
        <w:spacing w:line="360" w:lineRule="auto"/>
        <w:ind w:firstLine="480" w:firstLineChars="200"/>
        <w:jc w:val="left"/>
        <w:rPr>
          <w:rFonts w:hint="eastAsia"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项目名称：</w:t>
      </w:r>
      <w:r>
        <w:rPr>
          <w:rFonts w:hint="eastAsia" w:ascii="Times New Roman" w:hAnsi="Times New Roman" w:eastAsia="宋体" w:cs="Times New Roman"/>
          <w:color w:val="333333"/>
          <w:kern w:val="0"/>
          <w:sz w:val="24"/>
          <w:szCs w:val="24"/>
        </w:rPr>
        <w:t>山东潍焦集团薛城能源有限公司脱硫废液综合利用项目</w:t>
      </w:r>
    </w:p>
    <w:p>
      <w:pPr>
        <w:widowControl/>
        <w:shd w:val="clear" w:color="auto" w:fill="FFFFFF"/>
        <w:adjustRightInd w:val="0"/>
        <w:snapToGrid w:val="0"/>
        <w:spacing w:line="360" w:lineRule="auto"/>
        <w:ind w:firstLine="480" w:firstLineChars="200"/>
        <w:jc w:val="left"/>
        <w:rPr>
          <w:rFonts w:hint="default" w:ascii="Times New Roman" w:hAnsi="Times New Roman" w:eastAsia="宋体" w:cs="Times New Roman"/>
          <w:color w:val="333333"/>
          <w:kern w:val="0"/>
          <w:sz w:val="24"/>
          <w:szCs w:val="24"/>
          <w:lang w:val="en-US" w:eastAsia="zh-CN"/>
        </w:rPr>
      </w:pPr>
      <w:r>
        <w:rPr>
          <w:rFonts w:ascii="Times New Roman" w:hAnsi="Times New Roman" w:eastAsia="宋体" w:cs="Times New Roman"/>
          <w:color w:val="333333"/>
          <w:kern w:val="0"/>
          <w:sz w:val="24"/>
          <w:szCs w:val="24"/>
        </w:rPr>
        <w:t>建设地点：位于薛城化工产业园</w:t>
      </w:r>
      <w:r>
        <w:rPr>
          <w:rFonts w:hint="eastAsia" w:ascii="Times New Roman" w:hAnsi="Times New Roman" w:eastAsia="宋体" w:cs="Times New Roman"/>
          <w:color w:val="333333"/>
          <w:kern w:val="0"/>
          <w:sz w:val="24"/>
          <w:szCs w:val="24"/>
          <w:lang w:val="en-US" w:eastAsia="zh-CN"/>
        </w:rPr>
        <w:t>山东潍焦集团薛城能源有限公司厂区内</w:t>
      </w:r>
    </w:p>
    <w:p>
      <w:pPr>
        <w:spacing w:line="360" w:lineRule="auto"/>
        <w:ind w:firstLine="525"/>
        <w:rPr>
          <w:rFonts w:hint="default" w:ascii="Times New Roman" w:hAnsi="Times New Roman" w:cs="Times New Roman"/>
          <w:sz w:val="24"/>
          <w:lang w:val="en-US" w:eastAsia="zh-CN"/>
        </w:rPr>
      </w:pPr>
      <w:r>
        <w:rPr>
          <w:rFonts w:ascii="Times New Roman" w:hAnsi="Times New Roman" w:eastAsia="宋体" w:cs="Times New Roman"/>
          <w:color w:val="333333"/>
          <w:kern w:val="0"/>
          <w:sz w:val="24"/>
          <w:szCs w:val="24"/>
        </w:rPr>
        <w:t>项目概要及后评价由来：</w:t>
      </w:r>
      <w:r>
        <w:rPr>
          <w:rFonts w:hint="default" w:ascii="Times New Roman" w:hAnsi="Times New Roman" w:cs="Times New Roman"/>
          <w:sz w:val="24"/>
          <w:lang w:val="en-US" w:eastAsia="zh-CN"/>
        </w:rPr>
        <w:t>为了</w:t>
      </w:r>
      <w:r>
        <w:rPr>
          <w:rFonts w:hint="eastAsia" w:ascii="Times New Roman" w:hAnsi="Times New Roman" w:cs="Times New Roman"/>
          <w:sz w:val="24"/>
          <w:lang w:val="en-US" w:eastAsia="zh-CN"/>
        </w:rPr>
        <w:t>进一步降低焦炉煤气中硫化氢的含量，充分利用脱硫废液中的硫元素</w:t>
      </w:r>
      <w:r>
        <w:rPr>
          <w:rFonts w:hint="default" w:ascii="Times New Roman" w:hAnsi="Times New Roman" w:cs="Times New Roman"/>
          <w:sz w:val="24"/>
          <w:lang w:val="en-US" w:eastAsia="zh-CN"/>
        </w:rPr>
        <w:t>，</w:t>
      </w:r>
      <w:r>
        <w:rPr>
          <w:rFonts w:hint="eastAsia" w:ascii="Times New Roman" w:hAnsi="Times New Roman" w:cs="Times New Roman"/>
          <w:sz w:val="24"/>
          <w:lang w:val="en-US" w:eastAsia="zh-CN"/>
        </w:rPr>
        <w:t>公司决定将脱硫废液中的硫资源进行资源化利用回收，将目前采用的ISS络合铁脱硫催化剂改为PDS+栲胶催化剂，将原有煤气湿法脱硫工序的板框压滤机、熔硫釜及硫磺包装设备调整为应急设施，改造原有硫泡沫槽为脱硫废液收集槽，焦炉煤气HPF湿法脱硫产生的脱硫废液直接进入脱硫废液收集槽，作为拟建项目的原料，经预处理、焚烧及余热回收、稀酸净化和两转两吸、尾气回收净化等工艺过程，形成年利用脱硫废液3.3万m3，年生产中间产品硫酸2.4万吨（以98%H2SO4计）可直接用于厂内硫铵装置，不对外销售。制酸工艺过程回收余热产出饱和低压蒸汽为副产品，本装置自用。</w:t>
      </w:r>
    </w:p>
    <w:p>
      <w:pPr>
        <w:spacing w:line="360" w:lineRule="auto"/>
        <w:ind w:firstLine="468" w:firstLineChars="195"/>
        <w:rPr>
          <w:rFonts w:ascii="Times New Roman" w:hAnsi="Times New Roman" w:eastAsia="宋体" w:cs="Times New Roman"/>
          <w:color w:val="333333"/>
          <w:kern w:val="0"/>
          <w:sz w:val="24"/>
          <w:szCs w:val="24"/>
        </w:rPr>
      </w:pPr>
      <w:r>
        <w:rPr>
          <w:rFonts w:hint="eastAsia" w:ascii="Times New Roman" w:hAnsi="Times New Roman" w:cs="Times New Roman"/>
          <w:sz w:val="24"/>
          <w:lang w:val="en-US" w:eastAsia="zh-CN"/>
        </w:rPr>
        <w:t xml:space="preserve">建设内容及规模：项目总占地面积约2500平方米，主要建设预处理工段、焚烧及余热回收工段、净化工段、转化工段、干吸工段、尾吸工段等工艺装置，购置安装焚烧炉、转化塔等设备共计60台（套），根据《产业结构调整指导目录(2019年本)》。本项目定员为12人，由现有公司人员中调剂。生产岗位工人按三班两运转配置，每班8小时；行政管理人员及辅助生产人员按常日班配置。装置年运行时间为8000小时（年操作日为333天）。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right="0" w:firstLine="480"/>
        <w:textAlignment w:val="auto"/>
        <w:rPr>
          <w:rFonts w:hint="eastAsia" w:ascii="Times New Roman" w:hAnsi="Times New Roman" w:eastAsia="宋体" w:cs="Times New Roman"/>
          <w:color w:val="333333"/>
          <w:kern w:val="0"/>
          <w:sz w:val="24"/>
          <w:szCs w:val="24"/>
          <w:lang w:val="en-US" w:eastAsia="zh-CN" w:bidi="ar-SA"/>
        </w:rPr>
      </w:pPr>
      <w:r>
        <w:rPr>
          <w:rFonts w:ascii="Times New Roman" w:hAnsi="Times New Roman" w:eastAsia="宋体" w:cs="Times New Roman"/>
          <w:color w:val="333333"/>
          <w:kern w:val="0"/>
          <w:sz w:val="24"/>
          <w:szCs w:val="24"/>
        </w:rPr>
        <w:t>（二）</w:t>
      </w:r>
      <w:r>
        <w:rPr>
          <w:rFonts w:hint="eastAsia" w:ascii="Times New Roman" w:hAnsi="Times New Roman" w:eastAsia="宋体" w:cs="Times New Roman"/>
          <w:color w:val="333333"/>
          <w:kern w:val="0"/>
          <w:sz w:val="24"/>
          <w:szCs w:val="24"/>
          <w:lang w:val="en-US" w:eastAsia="zh-CN" w:bidi="ar-SA"/>
        </w:rPr>
        <w:t>环境影响报告表全文、查阅纸质报告书的方式和途径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right="0" w:firstLine="480"/>
        <w:textAlignment w:val="auto"/>
        <w:rPr>
          <w:rFonts w:hint="eastAsia" w:ascii="Times New Roman" w:hAnsi="Times New Roman" w:eastAsia="宋体" w:cs="Times New Roman"/>
          <w:color w:val="333333"/>
          <w:kern w:val="0"/>
          <w:sz w:val="24"/>
          <w:szCs w:val="24"/>
          <w:lang w:val="en-US" w:eastAsia="zh-CN" w:bidi="ar-SA"/>
        </w:rPr>
      </w:pPr>
      <w:r>
        <w:rPr>
          <w:rFonts w:hint="eastAsia" w:ascii="Times New Roman" w:hAnsi="Times New Roman" w:eastAsia="宋体" w:cs="Times New Roman"/>
          <w:color w:val="333333"/>
          <w:kern w:val="0"/>
          <w:sz w:val="24"/>
          <w:szCs w:val="24"/>
          <w:lang w:val="en-US" w:eastAsia="zh-CN" w:bidi="ar-SA"/>
        </w:rPr>
        <w:t>电子版报告书：</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right="0" w:firstLine="480"/>
        <w:textAlignment w:val="auto"/>
        <w:rPr>
          <w:rFonts w:hint="eastAsia" w:ascii="Times New Roman" w:hAnsi="Times New Roman" w:eastAsia="宋体" w:cs="Times New Roman"/>
          <w:color w:val="333333"/>
          <w:kern w:val="0"/>
          <w:sz w:val="24"/>
          <w:szCs w:val="24"/>
          <w:lang w:val="en-US" w:eastAsia="zh-CN" w:bidi="ar-SA"/>
        </w:rPr>
      </w:pPr>
      <w:r>
        <w:rPr>
          <w:rFonts w:hint="eastAsia" w:ascii="Times New Roman" w:hAnsi="Times New Roman" w:eastAsia="宋体" w:cs="Times New Roman"/>
          <w:color w:val="333333"/>
          <w:kern w:val="0"/>
          <w:sz w:val="24"/>
          <w:szCs w:val="24"/>
          <w:lang w:val="en-US" w:eastAsia="zh-CN" w:bidi="ar-SA"/>
        </w:rPr>
        <w:t xml:space="preserve">链接：https://pan.baidu.com/s/1RMwaHsRi_9Gm7uXj2GP_Ng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right="0" w:firstLine="480"/>
        <w:textAlignment w:val="auto"/>
        <w:rPr>
          <w:rFonts w:hint="eastAsia" w:ascii="Times New Roman" w:hAnsi="Times New Roman" w:eastAsia="宋体" w:cs="Times New Roman"/>
          <w:color w:val="333333"/>
          <w:kern w:val="0"/>
          <w:sz w:val="24"/>
          <w:szCs w:val="24"/>
          <w:lang w:val="en-US" w:eastAsia="zh-CN" w:bidi="ar-SA"/>
        </w:rPr>
      </w:pPr>
      <w:r>
        <w:rPr>
          <w:rFonts w:hint="eastAsia" w:ascii="Times New Roman" w:hAnsi="Times New Roman" w:eastAsia="宋体" w:cs="Times New Roman"/>
          <w:color w:val="333333"/>
          <w:kern w:val="0"/>
          <w:sz w:val="24"/>
          <w:szCs w:val="24"/>
          <w:lang w:val="en-US" w:eastAsia="zh-CN" w:bidi="ar-SA"/>
        </w:rPr>
        <w:t>提取码：f7f1</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40" w:lineRule="exact"/>
        <w:ind w:left="0" w:right="0" w:firstLine="480"/>
        <w:textAlignment w:val="auto"/>
        <w:rPr>
          <w:rFonts w:ascii="Times New Roman" w:hAnsi="Times New Roman" w:eastAsia="宋体" w:cs="Times New Roman"/>
          <w:color w:val="333333"/>
          <w:kern w:val="0"/>
          <w:sz w:val="24"/>
          <w:szCs w:val="24"/>
        </w:rPr>
      </w:pPr>
      <w:r>
        <w:rPr>
          <w:rFonts w:hint="eastAsia" w:ascii="Times New Roman" w:hAnsi="Times New Roman" w:eastAsia="宋体" w:cs="Times New Roman"/>
          <w:color w:val="333333"/>
          <w:kern w:val="0"/>
          <w:sz w:val="24"/>
          <w:szCs w:val="24"/>
          <w:lang w:val="en-US" w:eastAsia="zh-CN" w:bidi="ar-SA"/>
        </w:rPr>
        <w:t>纸版存放于本建设单位办公室内，如若需要联系刘经理。</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（三）建设单位的名称及联系方式</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建设单位：</w:t>
      </w:r>
      <w:r>
        <w:rPr>
          <w:rFonts w:hint="eastAsia" w:ascii="Times New Roman" w:hAnsi="Times New Roman" w:eastAsia="宋体" w:cs="Times New Roman"/>
          <w:color w:val="333333"/>
          <w:kern w:val="0"/>
          <w:sz w:val="24"/>
          <w:szCs w:val="24"/>
        </w:rPr>
        <w:t>山东潍焦集团薛城能源有限公司</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 xml:space="preserve">联系人：刘工 </w:t>
      </w:r>
    </w:p>
    <w:p>
      <w:pPr>
        <w:widowControl/>
        <w:shd w:val="clear" w:color="auto" w:fill="FFFFFF"/>
        <w:adjustRightInd w:val="0"/>
        <w:snapToGrid w:val="0"/>
        <w:spacing w:line="360" w:lineRule="auto"/>
        <w:ind w:firstLine="480" w:firstLineChars="200"/>
        <w:jc w:val="left"/>
        <w:rPr>
          <w:rFonts w:hint="default" w:ascii="Times New Roman" w:hAnsi="Times New Roman" w:eastAsia="宋体" w:cs="Times New Roman"/>
          <w:color w:val="333333"/>
          <w:kern w:val="0"/>
          <w:sz w:val="24"/>
          <w:szCs w:val="24"/>
          <w:lang w:val="en-US" w:eastAsia="zh-CN"/>
        </w:rPr>
      </w:pPr>
      <w:r>
        <w:rPr>
          <w:rFonts w:ascii="Times New Roman" w:hAnsi="Times New Roman" w:eastAsia="宋体" w:cs="Times New Roman"/>
          <w:color w:val="333333"/>
          <w:kern w:val="0"/>
          <w:sz w:val="24"/>
          <w:szCs w:val="24"/>
        </w:rPr>
        <w:t>联系电话：</w:t>
      </w:r>
      <w:r>
        <w:rPr>
          <w:rFonts w:hint="eastAsia" w:ascii="Times New Roman" w:hAnsi="Times New Roman" w:eastAsia="宋体" w:cs="Times New Roman"/>
          <w:color w:val="333333"/>
          <w:kern w:val="0"/>
          <w:sz w:val="24"/>
          <w:szCs w:val="24"/>
          <w:lang w:val="en-US" w:eastAsia="zh-CN"/>
        </w:rPr>
        <w:t>13562469219</w:t>
      </w:r>
      <w:bookmarkStart w:id="0" w:name="_GoBack"/>
      <w:bookmarkEnd w:id="0"/>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（四）</w:t>
      </w:r>
      <w:r>
        <w:rPr>
          <w:rFonts w:ascii="Times New Roman" w:hAnsi="Times New Roman" w:eastAsia="宋体" w:cs="Times New Roman"/>
          <w:color w:val="333333"/>
          <w:kern w:val="0"/>
          <w:sz w:val="24"/>
          <w:szCs w:val="24"/>
        </w:rPr>
        <w:t>项目环境影响报告书编制单位的名称及联系方式</w:t>
      </w:r>
    </w:p>
    <w:p>
      <w:pPr>
        <w:widowControl/>
        <w:shd w:val="clear" w:color="auto" w:fill="FFFFFF"/>
        <w:adjustRightInd w:val="0"/>
        <w:snapToGrid w:val="0"/>
        <w:spacing w:line="360" w:lineRule="auto"/>
        <w:ind w:firstLine="480" w:firstLineChars="200"/>
        <w:jc w:val="left"/>
        <w:rPr>
          <w:rFonts w:hint="default" w:ascii="Times New Roman" w:hAnsi="Times New Roman" w:eastAsia="宋体" w:cs="Times New Roman"/>
          <w:color w:val="333333"/>
          <w:kern w:val="0"/>
          <w:sz w:val="24"/>
          <w:szCs w:val="24"/>
          <w:lang w:val="en-US" w:eastAsia="zh-CN"/>
        </w:rPr>
      </w:pPr>
      <w:r>
        <w:rPr>
          <w:rFonts w:ascii="Times New Roman" w:hAnsi="Times New Roman" w:eastAsia="宋体" w:cs="Times New Roman"/>
          <w:color w:val="333333"/>
          <w:kern w:val="0"/>
          <w:sz w:val="24"/>
          <w:szCs w:val="24"/>
        </w:rPr>
        <w:t>环评单位：山东</w:t>
      </w:r>
      <w:r>
        <w:rPr>
          <w:rFonts w:hint="eastAsia" w:ascii="Times New Roman" w:hAnsi="Times New Roman" w:eastAsia="宋体" w:cs="Times New Roman"/>
          <w:color w:val="333333"/>
          <w:kern w:val="0"/>
          <w:sz w:val="24"/>
          <w:szCs w:val="24"/>
          <w:lang w:val="en-US" w:eastAsia="zh-CN"/>
        </w:rPr>
        <w:t>硕赫工程技术有限公司</w:t>
      </w:r>
    </w:p>
    <w:p>
      <w:pPr>
        <w:widowControl/>
        <w:shd w:val="clear" w:color="auto" w:fill="FFFFFF"/>
        <w:adjustRightInd w:val="0"/>
        <w:snapToGrid w:val="0"/>
        <w:spacing w:line="360" w:lineRule="auto"/>
        <w:ind w:firstLine="480" w:firstLineChars="200"/>
        <w:jc w:val="left"/>
        <w:rPr>
          <w:rFonts w:hint="eastAsia" w:ascii="Times New Roman" w:hAnsi="Times New Roman" w:eastAsia="宋体" w:cs="Times New Roman"/>
          <w:color w:val="333333"/>
          <w:kern w:val="0"/>
          <w:sz w:val="24"/>
          <w:szCs w:val="24"/>
          <w:lang w:eastAsia="zh-CN"/>
        </w:rPr>
      </w:pPr>
      <w:r>
        <w:rPr>
          <w:rFonts w:ascii="Times New Roman" w:hAnsi="Times New Roman" w:eastAsia="宋体" w:cs="Times New Roman"/>
          <w:color w:val="333333"/>
          <w:kern w:val="0"/>
          <w:sz w:val="24"/>
          <w:szCs w:val="24"/>
        </w:rPr>
        <w:t>联系人：</w:t>
      </w:r>
      <w:r>
        <w:rPr>
          <w:rFonts w:hint="eastAsia" w:ascii="Times New Roman" w:hAnsi="Times New Roman" w:eastAsia="宋体" w:cs="Times New Roman"/>
          <w:color w:val="333333"/>
          <w:kern w:val="0"/>
          <w:sz w:val="24"/>
          <w:szCs w:val="24"/>
          <w:lang w:val="en-US" w:eastAsia="zh-CN"/>
        </w:rPr>
        <w:t>贺工</w:t>
      </w:r>
    </w:p>
    <w:p>
      <w:pPr>
        <w:widowControl/>
        <w:shd w:val="clear" w:color="auto" w:fill="FFFFFF"/>
        <w:adjustRightInd w:val="0"/>
        <w:snapToGrid w:val="0"/>
        <w:spacing w:line="360" w:lineRule="auto"/>
        <w:ind w:firstLine="480" w:firstLineChars="200"/>
        <w:jc w:val="left"/>
        <w:rPr>
          <w:rFonts w:hint="default" w:ascii="Times New Roman" w:hAnsi="Times New Roman" w:eastAsia="宋体" w:cs="Times New Roman"/>
          <w:color w:val="333333"/>
          <w:kern w:val="0"/>
          <w:sz w:val="24"/>
          <w:szCs w:val="24"/>
          <w:lang w:val="en-US" w:eastAsia="zh-CN"/>
        </w:rPr>
      </w:pPr>
      <w:r>
        <w:rPr>
          <w:rFonts w:ascii="Times New Roman" w:hAnsi="Times New Roman" w:eastAsia="宋体" w:cs="Times New Roman"/>
          <w:color w:val="333333"/>
          <w:kern w:val="0"/>
          <w:sz w:val="24"/>
          <w:szCs w:val="24"/>
        </w:rPr>
        <w:t>联系电话：</w:t>
      </w:r>
      <w:r>
        <w:rPr>
          <w:rFonts w:hint="eastAsia" w:ascii="Times New Roman" w:hAnsi="Times New Roman" w:eastAsia="宋体" w:cs="Times New Roman"/>
          <w:color w:val="333333"/>
          <w:kern w:val="0"/>
          <w:sz w:val="24"/>
          <w:szCs w:val="24"/>
          <w:lang w:val="en-US" w:eastAsia="zh-CN"/>
        </w:rPr>
        <w:t>15264169829</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（五）提交公众意见表的方式和途径</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公众可以通过信函、传真、电子邮件或者建设单位提供的其他方式，在规定时间内将填写的公众意见表等提交建设单位，反映与建设项目环境影响有关的意见和建议。公众提出与建设项目环境影响评价无关的意见或者诉求，不属于建设项目环境影响评价公众参与的内容，公众可以依法另行向其他有关主管部门反映。公众提交意见时，应当提供有效的联系方式。鼓励公众采用实名方式提交意见并提供常住地址。</w:t>
      </w:r>
    </w:p>
    <w:p>
      <w:pPr>
        <w:widowControl/>
        <w:shd w:val="clear" w:color="auto" w:fill="FFFFFF"/>
        <w:adjustRightInd w:val="0"/>
        <w:snapToGrid w:val="0"/>
        <w:spacing w:line="360" w:lineRule="auto"/>
        <w:ind w:firstLine="480" w:firstLineChars="20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对公众提交的相关个人信息，建设单位不得用于环境影响评价公众参与之外的用途，未经个人信息相关权利人允许不得公开，法律法规另有规定的除外。</w:t>
      </w:r>
    </w:p>
    <w:p>
      <w:pPr>
        <w:widowControl/>
        <w:shd w:val="clear" w:color="auto" w:fill="FFFFFF"/>
        <w:adjustRightInd w:val="0"/>
        <w:snapToGrid w:val="0"/>
        <w:spacing w:line="360" w:lineRule="auto"/>
        <w:ind w:firstLine="480"/>
        <w:jc w:val="left"/>
        <w:rPr>
          <w:rFonts w:ascii="Times New Roman" w:hAnsi="Times New Roman" w:eastAsia="宋体" w:cs="Times New Roman"/>
          <w:color w:val="333333"/>
          <w:kern w:val="0"/>
          <w:sz w:val="24"/>
          <w:szCs w:val="24"/>
        </w:rPr>
      </w:pPr>
    </w:p>
    <w:p>
      <w:pPr>
        <w:widowControl/>
        <w:shd w:val="clear" w:color="auto" w:fill="FFFFFF"/>
        <w:adjustRightInd w:val="0"/>
        <w:snapToGrid w:val="0"/>
        <w:spacing w:line="360" w:lineRule="auto"/>
        <w:ind w:firstLine="480"/>
        <w:jc w:val="left"/>
        <w:rPr>
          <w:rFonts w:ascii="Times New Roman" w:hAnsi="Times New Roman" w:eastAsia="宋体" w:cs="Times New Roman"/>
          <w:color w:val="333333"/>
          <w:kern w:val="0"/>
          <w:sz w:val="24"/>
          <w:szCs w:val="24"/>
        </w:rPr>
      </w:pPr>
    </w:p>
    <w:p>
      <w:pPr>
        <w:widowControl/>
        <w:shd w:val="clear" w:color="auto" w:fill="FFFFFF"/>
        <w:adjustRightInd w:val="0"/>
        <w:snapToGrid w:val="0"/>
        <w:spacing w:line="360" w:lineRule="auto"/>
        <w:ind w:firstLine="480"/>
        <w:jc w:val="lef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 </w:t>
      </w:r>
    </w:p>
    <w:p>
      <w:pPr>
        <w:widowControl/>
        <w:shd w:val="clear" w:color="auto" w:fill="FFFFFF"/>
        <w:adjustRightInd w:val="0"/>
        <w:snapToGrid w:val="0"/>
        <w:spacing w:line="360" w:lineRule="auto"/>
        <w:ind w:firstLine="480"/>
        <w:jc w:val="right"/>
        <w:rPr>
          <w:rFonts w:ascii="Times New Roman" w:hAnsi="Times New Roman" w:eastAsia="宋体" w:cs="Times New Roman"/>
          <w:color w:val="333333"/>
          <w:kern w:val="0"/>
          <w:sz w:val="24"/>
          <w:szCs w:val="24"/>
        </w:rPr>
      </w:pPr>
      <w:r>
        <w:rPr>
          <w:rFonts w:hint="eastAsia" w:ascii="Times New Roman" w:hAnsi="Times New Roman" w:eastAsia="宋体" w:cs="Times New Roman"/>
          <w:color w:val="333333"/>
          <w:kern w:val="0"/>
          <w:sz w:val="24"/>
          <w:szCs w:val="24"/>
        </w:rPr>
        <w:t>山东潍焦集团薛城能源有限公司</w:t>
      </w:r>
    </w:p>
    <w:p>
      <w:pPr>
        <w:widowControl/>
        <w:shd w:val="clear" w:color="auto" w:fill="FFFFFF"/>
        <w:adjustRightInd w:val="0"/>
        <w:snapToGrid w:val="0"/>
        <w:spacing w:line="360" w:lineRule="auto"/>
        <w:ind w:right="720" w:firstLine="480"/>
        <w:jc w:val="right"/>
        <w:rPr>
          <w:rFonts w:ascii="Times New Roman" w:hAnsi="Times New Roman" w:eastAsia="宋体" w:cs="Times New Roman"/>
          <w:color w:val="333333"/>
          <w:kern w:val="0"/>
          <w:sz w:val="24"/>
          <w:szCs w:val="24"/>
        </w:rPr>
      </w:pPr>
      <w:r>
        <w:rPr>
          <w:rFonts w:ascii="Times New Roman" w:hAnsi="Times New Roman" w:eastAsia="宋体" w:cs="Times New Roman"/>
          <w:color w:val="333333"/>
          <w:kern w:val="0"/>
          <w:sz w:val="24"/>
          <w:szCs w:val="24"/>
        </w:rPr>
        <w:t>2021年</w:t>
      </w:r>
      <w:r>
        <w:rPr>
          <w:rFonts w:hint="eastAsia" w:ascii="Times New Roman" w:hAnsi="Times New Roman" w:eastAsia="宋体" w:cs="Times New Roman"/>
          <w:color w:val="333333"/>
          <w:kern w:val="0"/>
          <w:sz w:val="24"/>
          <w:szCs w:val="24"/>
          <w:lang w:val="en-US" w:eastAsia="zh-CN"/>
        </w:rPr>
        <w:t>12</w:t>
      </w:r>
      <w:r>
        <w:rPr>
          <w:rFonts w:ascii="Times New Roman" w:hAnsi="Times New Roman" w:eastAsia="宋体" w:cs="Times New Roman"/>
          <w:color w:val="333333"/>
          <w:kern w:val="0"/>
          <w:sz w:val="24"/>
          <w:szCs w:val="24"/>
        </w:rPr>
        <w:t>月</w:t>
      </w:r>
      <w:r>
        <w:rPr>
          <w:rFonts w:hint="eastAsia" w:ascii="Times New Roman" w:hAnsi="Times New Roman" w:eastAsia="宋体" w:cs="Times New Roman"/>
          <w:color w:val="333333"/>
          <w:kern w:val="0"/>
          <w:sz w:val="24"/>
          <w:szCs w:val="24"/>
          <w:lang w:val="en-US" w:eastAsia="zh-CN"/>
        </w:rPr>
        <w:t>3</w:t>
      </w:r>
      <w:r>
        <w:rPr>
          <w:rFonts w:ascii="Times New Roman" w:hAnsi="Times New Roman" w:eastAsia="宋体" w:cs="Times New Roman"/>
          <w:color w:val="333333"/>
          <w:kern w:val="0"/>
          <w:sz w:val="24"/>
          <w:szCs w:val="24"/>
        </w:rPr>
        <w:t>日</w:t>
      </w:r>
    </w:p>
    <w:p>
      <w:pPr>
        <w:widowControl/>
        <w:shd w:val="clear" w:color="auto" w:fill="FFFFFF"/>
        <w:adjustRightInd w:val="0"/>
        <w:snapToGrid w:val="0"/>
        <w:spacing w:line="360" w:lineRule="auto"/>
        <w:ind w:right="720" w:firstLine="480"/>
        <w:jc w:val="right"/>
        <w:rPr>
          <w:rFonts w:ascii="Times New Roman" w:hAnsi="Times New Roman" w:eastAsia="宋体" w:cs="Times New Roman"/>
          <w:color w:val="333333"/>
          <w:kern w:val="0"/>
          <w:sz w:val="24"/>
          <w:szCs w:val="24"/>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adjustRightInd w:val="0"/>
        <w:snapToGrid w:val="0"/>
        <w:rPr>
          <w:rFonts w:ascii="黑体" w:hAnsi="黑体" w:eastAsia="黑体"/>
          <w:szCs w:val="32"/>
        </w:rPr>
      </w:pPr>
    </w:p>
    <w:p>
      <w:pPr>
        <w:widowControl/>
        <w:shd w:val="clear" w:color="auto" w:fill="FFFFFF"/>
        <w:adjustRightInd w:val="0"/>
        <w:snapToGrid w:val="0"/>
        <w:spacing w:line="360" w:lineRule="auto"/>
        <w:ind w:right="720"/>
        <w:jc w:val="both"/>
        <w:rPr>
          <w:rFonts w:ascii="Times New Roman" w:hAnsi="Times New Roman" w:eastAsia="宋体" w:cs="Times New Roman"/>
          <w:color w:val="333333"/>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imesNewRomanPSMT">
    <w:altName w:val="Times New Roman"/>
    <w:panose1 w:val="00000000000000000000"/>
    <w:charset w:val="00"/>
    <w:family w:val="roman"/>
    <w:pitch w:val="default"/>
    <w:sig w:usb0="00000000" w:usb1="00000000" w:usb2="00000010" w:usb3="00000000" w:csb0="00040001"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6AD"/>
    <w:rsid w:val="000409CD"/>
    <w:rsid w:val="0005291E"/>
    <w:rsid w:val="000B1A3A"/>
    <w:rsid w:val="00111B7A"/>
    <w:rsid w:val="00111C52"/>
    <w:rsid w:val="00121CE2"/>
    <w:rsid w:val="0013723F"/>
    <w:rsid w:val="00141841"/>
    <w:rsid w:val="001E36AD"/>
    <w:rsid w:val="001E6A4B"/>
    <w:rsid w:val="001F0279"/>
    <w:rsid w:val="00246036"/>
    <w:rsid w:val="00256EFD"/>
    <w:rsid w:val="00272CF3"/>
    <w:rsid w:val="002B0C84"/>
    <w:rsid w:val="002B22C5"/>
    <w:rsid w:val="002F6C64"/>
    <w:rsid w:val="00335328"/>
    <w:rsid w:val="00400880"/>
    <w:rsid w:val="00472D33"/>
    <w:rsid w:val="00482DD3"/>
    <w:rsid w:val="004C067B"/>
    <w:rsid w:val="004C3CCF"/>
    <w:rsid w:val="00510B7C"/>
    <w:rsid w:val="005665DF"/>
    <w:rsid w:val="00582310"/>
    <w:rsid w:val="00595453"/>
    <w:rsid w:val="005F704F"/>
    <w:rsid w:val="005F7F74"/>
    <w:rsid w:val="0069427A"/>
    <w:rsid w:val="0077179E"/>
    <w:rsid w:val="00811017"/>
    <w:rsid w:val="0082412C"/>
    <w:rsid w:val="00826A4D"/>
    <w:rsid w:val="00893150"/>
    <w:rsid w:val="0092063B"/>
    <w:rsid w:val="0094335E"/>
    <w:rsid w:val="009F54CA"/>
    <w:rsid w:val="00A23B9B"/>
    <w:rsid w:val="00A32AF6"/>
    <w:rsid w:val="00A96C49"/>
    <w:rsid w:val="00AE78AB"/>
    <w:rsid w:val="00AF54BA"/>
    <w:rsid w:val="00B513A5"/>
    <w:rsid w:val="00B6369D"/>
    <w:rsid w:val="00B80AB6"/>
    <w:rsid w:val="00BA2936"/>
    <w:rsid w:val="00BD0B80"/>
    <w:rsid w:val="00BE71B4"/>
    <w:rsid w:val="00BF7D26"/>
    <w:rsid w:val="00C60616"/>
    <w:rsid w:val="00CA32E6"/>
    <w:rsid w:val="00CA4DF5"/>
    <w:rsid w:val="00CC33B9"/>
    <w:rsid w:val="00D17626"/>
    <w:rsid w:val="00D40239"/>
    <w:rsid w:val="00D74CE8"/>
    <w:rsid w:val="00EA6407"/>
    <w:rsid w:val="00ED4841"/>
    <w:rsid w:val="00ED5E9B"/>
    <w:rsid w:val="00EE7BC6"/>
    <w:rsid w:val="00FD0AA6"/>
    <w:rsid w:val="04241AE4"/>
    <w:rsid w:val="492B7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